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0" w:rsidRPr="004D2FC0" w:rsidRDefault="004D2FC0" w:rsidP="004D2FC0">
      <w:pPr>
        <w:pStyle w:val="CM12"/>
        <w:adjustRightInd/>
        <w:spacing w:line="560" w:lineRule="exact"/>
        <w:rPr>
          <w:rFonts w:ascii="方正小标宋_GBK" w:eastAsia="方正小标宋_GBK" w:hAnsi="方正小标宋_GBK" w:cs="方正小标宋_GBK"/>
          <w:sz w:val="28"/>
          <w:szCs w:val="28"/>
        </w:rPr>
      </w:pPr>
      <w:r w:rsidRPr="004D2FC0">
        <w:rPr>
          <w:rFonts w:ascii="方正小标宋_GBK" w:eastAsia="方正小标宋_GBK" w:hAnsi="方正小标宋_GBK" w:cs="方正小标宋_GBK" w:hint="eastAsia"/>
          <w:sz w:val="28"/>
          <w:szCs w:val="28"/>
        </w:rPr>
        <w:t>附件</w:t>
      </w:r>
      <w:r w:rsidR="00CB7277">
        <w:rPr>
          <w:rFonts w:ascii="方正小标宋_GBK" w:eastAsia="方正小标宋_GBK" w:hAnsi="方正小标宋_GBK" w:cs="方正小标宋_GBK" w:hint="eastAsia"/>
          <w:sz w:val="28"/>
          <w:szCs w:val="28"/>
        </w:rPr>
        <w:t>5</w:t>
      </w:r>
    </w:p>
    <w:p w:rsidR="00E47814" w:rsidRDefault="006160EA">
      <w:pPr>
        <w:pStyle w:val="CM12"/>
        <w:adjustRightInd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×××（单位）</w:t>
      </w:r>
      <w:r w:rsidR="00726A21">
        <w:rPr>
          <w:rFonts w:ascii="方正小标宋_GBK" w:eastAsia="方正小标宋_GBK" w:hAnsi="方正小标宋_GBK" w:cs="方正小标宋_GBK" w:hint="eastAsia"/>
          <w:sz w:val="44"/>
          <w:szCs w:val="44"/>
        </w:rPr>
        <w:t>201</w:t>
      </w:r>
      <w:proofErr w:type="gramStart"/>
      <w:r w:rsidR="005622F3">
        <w:rPr>
          <w:rFonts w:ascii="方正小标宋_GBK" w:eastAsia="方正小标宋_GBK" w:hAnsi="方正小标宋_GBK" w:cs="方正小标宋_GBK"/>
          <w:sz w:val="44"/>
          <w:szCs w:val="44"/>
        </w:rPr>
        <w:t>９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 w:rsidR="00FB38EA">
        <w:rPr>
          <w:rFonts w:ascii="方正小标宋_GBK" w:eastAsia="方正小标宋_GBK" w:hAnsi="方正小标宋_GBK" w:cs="方正小标宋_GBK" w:hint="eastAsia"/>
          <w:sz w:val="44"/>
          <w:szCs w:val="44"/>
        </w:rPr>
        <w:t>国有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资产清查盘点</w:t>
      </w:r>
    </w:p>
    <w:p w:rsidR="00E47814" w:rsidRDefault="006160EA">
      <w:pPr>
        <w:pStyle w:val="CM12"/>
        <w:adjustRightInd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报告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按照《关于开展</w:t>
      </w:r>
      <w:r w:rsidR="00726A21">
        <w:rPr>
          <w:rFonts w:ascii="方正仿宋_GBK" w:hAnsi="方正仿宋_GBK" w:cs="方正仿宋_GBK" w:hint="eastAsia"/>
          <w:szCs w:val="32"/>
        </w:rPr>
        <w:t>201</w:t>
      </w:r>
      <w:r w:rsidR="005622F3">
        <w:rPr>
          <w:rFonts w:ascii="方正仿宋_GBK" w:hAnsi="方正仿宋_GBK" w:cs="方正仿宋_GBK"/>
          <w:szCs w:val="32"/>
        </w:rPr>
        <w:t>９</w:t>
      </w:r>
      <w:r>
        <w:rPr>
          <w:rFonts w:ascii="方正仿宋_GBK" w:hAnsi="方正仿宋_GBK" w:cs="方正仿宋_GBK" w:hint="eastAsia"/>
          <w:szCs w:val="32"/>
        </w:rPr>
        <w:t>年度</w:t>
      </w:r>
      <w:r w:rsidR="005622F3">
        <w:rPr>
          <w:rFonts w:ascii="方正仿宋_GBK" w:hAnsi="方正仿宋_GBK" w:cs="方正仿宋_GBK" w:hint="eastAsia"/>
          <w:szCs w:val="32"/>
        </w:rPr>
        <w:t>国有</w:t>
      </w:r>
      <w:r>
        <w:rPr>
          <w:rFonts w:ascii="方正仿宋_GBK" w:hAnsi="方正仿宋_GBK" w:cs="方正仿宋_GBK" w:hint="eastAsia"/>
          <w:szCs w:val="32"/>
        </w:rPr>
        <w:t>资产清查盘点工作的通知》的要求，</w:t>
      </w:r>
      <w:r>
        <w:rPr>
          <w:rFonts w:ascii="仿宋" w:eastAsia="仿宋" w:hAnsi="仿宋"/>
          <w:szCs w:val="32"/>
        </w:rPr>
        <w:t>根据</w:t>
      </w:r>
      <w:r>
        <w:rPr>
          <w:rFonts w:ascii="仿宋" w:eastAsia="仿宋" w:hAnsi="仿宋" w:hint="eastAsia"/>
          <w:szCs w:val="32"/>
        </w:rPr>
        <w:t>《阜阳师范学院国有资产管理暂行办法》（校政〔2014〕68号）、</w:t>
      </w:r>
      <w:hyperlink r:id="rId8" w:tgtFrame="_blank" w:history="1">
        <w:r>
          <w:rPr>
            <w:rFonts w:ascii="仿宋" w:eastAsia="仿宋" w:hAnsi="仿宋" w:hint="eastAsia"/>
            <w:szCs w:val="32"/>
          </w:rPr>
          <w:t>《阜阳师范学院固定资产年度盘点实施办法（试行）》（校国资〔2016〕8号）等文件的</w:t>
        </w:r>
      </w:hyperlink>
      <w:r>
        <w:rPr>
          <w:rFonts w:ascii="仿宋" w:eastAsia="仿宋" w:hAnsi="仿宋" w:hint="eastAsia"/>
          <w:szCs w:val="32"/>
        </w:rPr>
        <w:t>相关规定</w:t>
      </w:r>
      <w:r>
        <w:rPr>
          <w:rFonts w:ascii="方正仿宋_GBK" w:hAnsi="方正仿宋_GBK" w:cs="方正仿宋_GBK" w:hint="eastAsia"/>
          <w:szCs w:val="32"/>
        </w:rPr>
        <w:t>，我单位认真组织并按时完成</w:t>
      </w:r>
      <w:r w:rsidR="005622F3">
        <w:rPr>
          <w:rFonts w:ascii="方正仿宋_GBK" w:hAnsi="方正仿宋_GBK" w:cs="方正仿宋_GBK" w:hint="eastAsia"/>
          <w:szCs w:val="32"/>
        </w:rPr>
        <w:t>201</w:t>
      </w:r>
      <w:r w:rsidR="005622F3">
        <w:rPr>
          <w:rFonts w:ascii="方正仿宋_GBK" w:hAnsi="方正仿宋_GBK" w:cs="方正仿宋_GBK"/>
          <w:szCs w:val="32"/>
        </w:rPr>
        <w:t>９</w:t>
      </w:r>
      <w:r w:rsidR="005622F3">
        <w:rPr>
          <w:rFonts w:ascii="方正仿宋_GBK" w:hAnsi="方正仿宋_GBK" w:cs="方正仿宋_GBK" w:hint="eastAsia"/>
          <w:szCs w:val="32"/>
        </w:rPr>
        <w:t>年度国有</w:t>
      </w:r>
      <w:r>
        <w:rPr>
          <w:rFonts w:ascii="方正仿宋_GBK" w:hAnsi="方正仿宋_GBK" w:cs="方正仿宋_GBK" w:hint="eastAsia"/>
          <w:szCs w:val="32"/>
        </w:rPr>
        <w:t>资产清查盘点工作，现将（单位）资产清查有关</w:t>
      </w:r>
      <w:bookmarkStart w:id="0" w:name="_GoBack"/>
      <w:bookmarkEnd w:id="0"/>
      <w:r>
        <w:rPr>
          <w:rFonts w:ascii="方正仿宋_GBK" w:hAnsi="方正仿宋_GBK" w:cs="方正仿宋_GBK" w:hint="eastAsia"/>
          <w:szCs w:val="32"/>
        </w:rPr>
        <w:t>事项报告如下：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黑体_GBK" w:eastAsia="方正黑体_GBK" w:hAnsi="方正黑体_GBK" w:cs="方正黑体_GBK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一、资产清查工作的组织实施情况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主要包括资产清查盘点工作的具体做法。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黑体_GBK" w:eastAsia="方正黑体_GBK" w:hAnsi="方正黑体_GBK" w:cs="方正黑体_GBK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二、资产清查盘点的总体情况及损益原因分析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（一）资产清查盘点的总体情况</w:t>
      </w:r>
    </w:p>
    <w:p w:rsidR="00E47814" w:rsidRDefault="006160EA" w:rsidP="003767B1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主要包括清查盘点进度及完成情况、内部管理制度建设、资产管理员</w:t>
      </w:r>
      <w:r w:rsidR="003767B1">
        <w:rPr>
          <w:rFonts w:ascii="方正仿宋_GBK" w:hAnsi="方正仿宋_GBK" w:cs="方正仿宋_GBK" w:hint="eastAsia"/>
          <w:szCs w:val="32"/>
        </w:rPr>
        <w:t>工作保障</w:t>
      </w:r>
      <w:r>
        <w:rPr>
          <w:rFonts w:ascii="方正仿宋_GBK" w:hAnsi="方正仿宋_GBK" w:cs="方正仿宋_GBK" w:hint="eastAsia"/>
          <w:szCs w:val="32"/>
        </w:rPr>
        <w:t>、贵重仪器（10</w:t>
      </w:r>
      <w:r w:rsidR="009F6048">
        <w:rPr>
          <w:rFonts w:ascii="方正仿宋_GBK" w:hAnsi="方正仿宋_GBK" w:cs="方正仿宋_GBK" w:hint="eastAsia"/>
          <w:szCs w:val="32"/>
        </w:rPr>
        <w:t>万</w:t>
      </w:r>
      <w:r>
        <w:rPr>
          <w:rFonts w:ascii="方正仿宋_GBK" w:hAnsi="方正仿宋_GBK" w:cs="方正仿宋_GBK" w:hint="eastAsia"/>
          <w:szCs w:val="32"/>
        </w:rPr>
        <w:t>元以上）使用管理情况、资产利用率及闲置情况等。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（二）资产清查盘点结果及原因分析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资产损益（盘亏、盘盈）情况及原因分析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黑体_GBK" w:eastAsia="方正黑体_GBK" w:hAnsi="方正黑体_GBK" w:cs="方正黑体_GBK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三、资产清查工作取得的成效及存在问题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黑体_GBK" w:eastAsia="方正黑体_GBK" w:hAnsi="方正黑体_GBK" w:cs="方正黑体_GBK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四、下一步工作打算</w:t>
      </w:r>
    </w:p>
    <w:p w:rsidR="00E47814" w:rsidRDefault="006160EA">
      <w:pPr>
        <w:spacing w:line="560" w:lineRule="exact"/>
        <w:ind w:firstLineChars="200" w:firstLine="632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 xml:space="preserve">                                 ×××（单位）</w:t>
      </w:r>
    </w:p>
    <w:p w:rsidR="00E47814" w:rsidRDefault="006160EA">
      <w:pPr>
        <w:spacing w:line="560" w:lineRule="exact"/>
        <w:ind w:firstLineChars="1771" w:firstLine="5594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××年××月××日</w:t>
      </w:r>
    </w:p>
    <w:sectPr w:rsidR="00E47814">
      <w:footerReference w:type="even" r:id="rId9"/>
      <w:footerReference w:type="default" r:id="rId10"/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2D" w:rsidRDefault="00E9332D">
      <w:r>
        <w:separator/>
      </w:r>
    </w:p>
  </w:endnote>
  <w:endnote w:type="continuationSeparator" w:id="0">
    <w:p w:rsidR="00E9332D" w:rsidRDefault="00E9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HiddenHorzOCl">
    <w:altName w:val="宋体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14" w:rsidRDefault="006160EA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</w:rPr>
      <w:t>4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14" w:rsidRDefault="006160EA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4"/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5622F3"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2D" w:rsidRDefault="00E9332D">
      <w:r>
        <w:separator/>
      </w:r>
    </w:p>
  </w:footnote>
  <w:footnote w:type="continuationSeparator" w:id="0">
    <w:p w:rsidR="00E9332D" w:rsidRDefault="00E9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51"/>
    <w:rsid w:val="00015CA9"/>
    <w:rsid w:val="003767B1"/>
    <w:rsid w:val="00394EFE"/>
    <w:rsid w:val="004D2FC0"/>
    <w:rsid w:val="00537F2D"/>
    <w:rsid w:val="005622F3"/>
    <w:rsid w:val="005A7233"/>
    <w:rsid w:val="006160EA"/>
    <w:rsid w:val="00671EC0"/>
    <w:rsid w:val="00726A21"/>
    <w:rsid w:val="00772484"/>
    <w:rsid w:val="008B5751"/>
    <w:rsid w:val="008D0F65"/>
    <w:rsid w:val="00946613"/>
    <w:rsid w:val="009F6048"/>
    <w:rsid w:val="00C30FE6"/>
    <w:rsid w:val="00CB7277"/>
    <w:rsid w:val="00CC62B2"/>
    <w:rsid w:val="00CE2135"/>
    <w:rsid w:val="00E47814"/>
    <w:rsid w:val="00E9332D"/>
    <w:rsid w:val="00F633AB"/>
    <w:rsid w:val="00F76E85"/>
    <w:rsid w:val="00FA1EDF"/>
    <w:rsid w:val="00FB38EA"/>
    <w:rsid w:val="4A1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22"/>
    </w:rPr>
  </w:style>
  <w:style w:type="character" w:styleId="a4">
    <w:name w:val="page number"/>
    <w:basedOn w:val="a0"/>
  </w:style>
  <w:style w:type="character" w:customStyle="1" w:styleId="Char">
    <w:name w:val="页脚 Char"/>
    <w:link w:val="a3"/>
    <w:uiPriority w:val="99"/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方正仿宋_GBK" w:hAnsi="Times New Roman" w:cs="Times New Roman"/>
      <w:sz w:val="18"/>
      <w:szCs w:val="18"/>
    </w:rPr>
  </w:style>
  <w:style w:type="paragraph" w:customStyle="1" w:styleId="CM12">
    <w:name w:val="CM12"/>
    <w:basedOn w:val="a"/>
    <w:next w:val="a"/>
    <w:uiPriority w:val="99"/>
    <w:unhideWhenUsed/>
    <w:qFormat/>
    <w:pPr>
      <w:autoSpaceDE w:val="0"/>
      <w:autoSpaceDN w:val="0"/>
      <w:adjustRightInd w:val="0"/>
      <w:jc w:val="left"/>
    </w:pPr>
    <w:rPr>
      <w:rFonts w:ascii="HiddenHorzOCl" w:eastAsia="HiddenHorzOCl" w:hAnsi="HiddenHorzOCl"/>
      <w:color w:val="000000"/>
      <w:kern w:val="0"/>
      <w:sz w:val="24"/>
      <w:szCs w:val="22"/>
    </w:rPr>
  </w:style>
  <w:style w:type="paragraph" w:styleId="a5">
    <w:name w:val="header"/>
    <w:basedOn w:val="a"/>
    <w:link w:val="Char0"/>
    <w:uiPriority w:val="99"/>
    <w:unhideWhenUsed/>
    <w:rsid w:val="004D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2FC0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D2FC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2FC0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22"/>
    </w:rPr>
  </w:style>
  <w:style w:type="character" w:styleId="a4">
    <w:name w:val="page number"/>
    <w:basedOn w:val="a0"/>
  </w:style>
  <w:style w:type="character" w:customStyle="1" w:styleId="Char">
    <w:name w:val="页脚 Char"/>
    <w:link w:val="a3"/>
    <w:uiPriority w:val="99"/>
    <w:rPr>
      <w:rFonts w:eastAsia="仿宋_GB2312"/>
      <w:sz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方正仿宋_GBK" w:hAnsi="Times New Roman" w:cs="Times New Roman"/>
      <w:sz w:val="18"/>
      <w:szCs w:val="18"/>
    </w:rPr>
  </w:style>
  <w:style w:type="paragraph" w:customStyle="1" w:styleId="CM12">
    <w:name w:val="CM12"/>
    <w:basedOn w:val="a"/>
    <w:next w:val="a"/>
    <w:uiPriority w:val="99"/>
    <w:unhideWhenUsed/>
    <w:qFormat/>
    <w:pPr>
      <w:autoSpaceDE w:val="0"/>
      <w:autoSpaceDN w:val="0"/>
      <w:adjustRightInd w:val="0"/>
      <w:jc w:val="left"/>
    </w:pPr>
    <w:rPr>
      <w:rFonts w:ascii="HiddenHorzOCl" w:eastAsia="HiddenHorzOCl" w:hAnsi="HiddenHorzOCl"/>
      <w:color w:val="000000"/>
      <w:kern w:val="0"/>
      <w:sz w:val="24"/>
      <w:szCs w:val="22"/>
    </w:rPr>
  </w:style>
  <w:style w:type="paragraph" w:styleId="a5">
    <w:name w:val="header"/>
    <w:basedOn w:val="a"/>
    <w:link w:val="Char0"/>
    <w:uiPriority w:val="99"/>
    <w:unhideWhenUsed/>
    <w:rsid w:val="004D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2FC0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D2FC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2FC0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fync.edu.cn/document/documentread/open.shtml?e_id=5594&amp;flowid=598&amp;offset=0&amp;e_kindid=a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高道斌</dc:creator>
  <cp:lastModifiedBy>吕盼盼</cp:lastModifiedBy>
  <cp:revision>12</cp:revision>
  <cp:lastPrinted>2017-02-27T01:38:00Z</cp:lastPrinted>
  <dcterms:created xsi:type="dcterms:W3CDTF">2017-02-22T01:51:00Z</dcterms:created>
  <dcterms:modified xsi:type="dcterms:W3CDTF">2019-12-17T06:59:00Z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